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4FD9EA">
      <w:pPr>
        <w:ind w:firstLine="321" w:firstLineChars="100"/>
        <w:contextualSpacing/>
        <w:rPr>
          <w:rFonts w:hint="eastAsia" w:ascii="Times New Roman" w:hAnsi="Times New Roman" w:eastAsia="宋体" w:cs="Times New Roman"/>
          <w:b/>
          <w:color w:val="auto"/>
          <w:sz w:val="32"/>
          <w:szCs w:val="28"/>
        </w:rPr>
      </w:pPr>
      <w:r>
        <w:rPr>
          <w:rFonts w:hint="eastAsia" w:ascii="Times New Roman" w:hAnsi="Times New Roman" w:eastAsia="宋体" w:cs="Times New Roman"/>
          <w:b/>
          <w:color w:val="auto"/>
          <w:sz w:val="32"/>
          <w:szCs w:val="28"/>
        </w:rPr>
        <w:t>标题：变化电磁场</w:t>
      </w:r>
      <w:r>
        <w:rPr>
          <w:rFonts w:hint="eastAsia" w:ascii="Times New Roman" w:hAnsi="Times New Roman" w:eastAsia="宋体" w:cs="Times New Roman"/>
          <w:b/>
          <w:color w:val="auto"/>
          <w:sz w:val="32"/>
          <w:szCs w:val="28"/>
          <w:lang w:val="en-US" w:eastAsia="zh-CN"/>
        </w:rPr>
        <w:t>生成</w:t>
      </w:r>
      <w:r>
        <w:rPr>
          <w:rFonts w:hint="eastAsia" w:ascii="Times New Roman" w:hAnsi="Times New Roman" w:eastAsia="宋体" w:cs="Times New Roman"/>
          <w:b/>
          <w:color w:val="auto"/>
          <w:sz w:val="32"/>
          <w:szCs w:val="28"/>
        </w:rPr>
        <w:t>引力场令一切物体运动的试验</w:t>
      </w:r>
    </w:p>
    <w:p w14:paraId="4718F43A">
      <w:pPr>
        <w:ind w:firstLine="321" w:firstLineChars="100"/>
        <w:contextualSpacing/>
        <w:rPr>
          <w:rFonts w:hint="eastAsia" w:ascii="Times New Roman" w:hAnsi="Times New Roman" w:eastAsia="宋体" w:cs="Times New Roman"/>
          <w:b/>
          <w:color w:val="auto"/>
          <w:sz w:val="32"/>
          <w:szCs w:val="28"/>
        </w:rPr>
      </w:pPr>
    </w:p>
    <w:p w14:paraId="69C80F6C">
      <w:pPr>
        <w:contextualSpacing/>
        <w:jc w:val="both"/>
        <w:rPr>
          <w:rFonts w:hint="default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</w:pP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</w:rPr>
        <w:t>作者</w:t>
      </w: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lang w:eastAsia="zh-CN"/>
        </w:rPr>
        <w:t>：</w:t>
      </w:r>
      <w:r>
        <w:rPr>
          <w:rFonts w:hint="eastAsia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  <w:t>张祥前</w:t>
      </w: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vertAlign w:val="superscript"/>
          <w:lang w:val="en-US" w:eastAsia="zh-CN"/>
        </w:rPr>
        <w:t>1</w:t>
      </w: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  <w:t>*</w:t>
      </w: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lang w:eastAsia="zh-CN"/>
        </w:rPr>
        <w:t>，</w:t>
      </w:r>
      <w:r>
        <w:rPr>
          <w:rFonts w:hint="eastAsia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  <w:t>徐玉川</w:t>
      </w: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vertAlign w:val="superscript"/>
          <w:lang w:val="en-US" w:eastAsia="zh-CN"/>
        </w:rPr>
        <w:t>1</w:t>
      </w: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  <w:t>*</w:t>
      </w:r>
    </w:p>
    <w:p w14:paraId="496461E9">
      <w:pPr>
        <w:contextualSpacing/>
        <w:jc w:val="both"/>
        <w:rPr>
          <w:rFonts w:hint="default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</w:pPr>
    </w:p>
    <w:p w14:paraId="4F5DCB5A">
      <w:pPr>
        <w:contextualSpacing/>
        <w:jc w:val="both"/>
        <w:rPr>
          <w:rFonts w:hint="default" w:ascii="Arial" w:hAnsi="Arial" w:eastAsia="宋体" w:cs="Arial"/>
          <w:b w:val="0"/>
          <w:bCs/>
          <w:color w:val="auto"/>
          <w:sz w:val="28"/>
          <w:szCs w:val="28"/>
          <w:vertAlign w:val="baseline"/>
          <w:lang w:val="en-US" w:eastAsia="zh-CN"/>
        </w:rPr>
      </w:pP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vertAlign w:val="baseline"/>
          <w:lang w:val="en-US" w:eastAsia="zh-CN"/>
        </w:rPr>
        <w:t>所属机构：</w:t>
      </w:r>
    </w:p>
    <w:p w14:paraId="2901DAA6">
      <w:pPr>
        <w:contextualSpacing/>
        <w:jc w:val="both"/>
        <w:rPr>
          <w:rFonts w:hint="default" w:ascii="Arial" w:hAnsi="Arial" w:eastAsia="宋体" w:cs="Arial"/>
          <w:b w:val="0"/>
          <w:bCs/>
          <w:color w:val="auto"/>
          <w:sz w:val="28"/>
          <w:szCs w:val="28"/>
          <w:vertAlign w:val="baseline"/>
          <w:lang w:val="en-US" w:eastAsia="zh-CN"/>
        </w:rPr>
      </w:pP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vertAlign w:val="superscript"/>
          <w:lang w:val="en-US" w:eastAsia="zh-CN"/>
        </w:rPr>
        <w:t>1</w:t>
      </w: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vertAlign w:val="baseline"/>
          <w:lang w:val="en-US" w:eastAsia="zh-CN"/>
        </w:rPr>
        <w:t>安徽迪维乐普非晶器材有限公司</w:t>
      </w:r>
      <w:r>
        <w:rPr>
          <w:rFonts w:hint="eastAsia" w:ascii="Arial" w:hAnsi="Arial" w:eastAsia="宋体" w:cs="Arial"/>
          <w:b w:val="0"/>
          <w:bCs/>
          <w:color w:val="auto"/>
          <w:sz w:val="28"/>
          <w:szCs w:val="28"/>
          <w:vertAlign w:val="baseline"/>
          <w:lang w:val="en-US" w:eastAsia="zh-CN"/>
        </w:rPr>
        <w:t>；合肥市、231500、中国。</w:t>
      </w:r>
    </w:p>
    <w:p w14:paraId="27623451">
      <w:pPr>
        <w:contextualSpacing/>
        <w:jc w:val="both"/>
        <w:rPr>
          <w:rFonts w:hint="default" w:ascii="Arial" w:hAnsi="Arial" w:eastAsia="宋体" w:cs="Arial"/>
          <w:b w:val="0"/>
          <w:bCs/>
          <w:color w:val="auto"/>
          <w:sz w:val="28"/>
          <w:szCs w:val="28"/>
          <w:vertAlign w:val="baseline"/>
          <w:lang w:val="en-US" w:eastAsia="zh-CN"/>
        </w:rPr>
      </w:pP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  <w:t>*</w:t>
      </w:r>
      <w:r>
        <w:rPr>
          <w:rFonts w:hint="eastAsia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  <w:t>徐玉川。</w:t>
      </w:r>
      <w:r>
        <w:rPr>
          <w:rFonts w:hint="eastAsia" w:ascii="Arial" w:hAnsi="Arial" w:eastAsia="宋体" w:cs="Arial"/>
          <w:b w:val="0"/>
          <w:bCs/>
          <w:color w:val="auto"/>
          <w:sz w:val="28"/>
          <w:szCs w:val="28"/>
          <w:vertAlign w:val="baseline"/>
          <w:lang w:val="en-US" w:eastAsia="zh-CN"/>
        </w:rPr>
        <w:t>电子邮件：</w:t>
      </w: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u w:val="none"/>
          <w:vertAlign w:val="baseline"/>
          <w:lang w:val="en-US" w:eastAsia="zh-CN"/>
        </w:rPr>
        <w:t>info@ahdvlp.com</w:t>
      </w:r>
    </w:p>
    <w:p w14:paraId="4444D073">
      <w:pPr>
        <w:contextualSpacing/>
        <w:jc w:val="both"/>
        <w:rPr>
          <w:rFonts w:hint="eastAsia"/>
          <w:b w:val="0"/>
          <w:bCs/>
          <w:color w:val="auto"/>
          <w:sz w:val="28"/>
          <w:szCs w:val="28"/>
          <w:u w:val="none"/>
          <w:lang w:val="en-US" w:eastAsia="zh-CN"/>
        </w:rPr>
      </w:pPr>
      <w:r>
        <w:rPr>
          <w:rFonts w:hint="default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  <w:t>*</w:t>
      </w:r>
      <w:r>
        <w:rPr>
          <w:rFonts w:hint="eastAsia" w:ascii="Arial" w:hAnsi="Arial" w:eastAsia="宋体" w:cs="Arial"/>
          <w:b w:val="0"/>
          <w:bCs/>
          <w:color w:val="auto"/>
          <w:sz w:val="28"/>
          <w:szCs w:val="28"/>
          <w:lang w:val="en-US" w:eastAsia="zh-CN"/>
        </w:rPr>
        <w:t>张祥前。</w:t>
      </w:r>
      <w:r>
        <w:rPr>
          <w:rFonts w:hint="eastAsia" w:ascii="Arial" w:hAnsi="Arial" w:eastAsia="宋体" w:cs="Arial"/>
          <w:b w:val="0"/>
          <w:bCs/>
          <w:color w:val="auto"/>
          <w:sz w:val="28"/>
          <w:szCs w:val="28"/>
          <w:vertAlign w:val="baseline"/>
          <w:lang w:val="en-US" w:eastAsia="zh-CN"/>
        </w:rPr>
        <w:t>电子邮件：</w:t>
      </w:r>
      <w:r>
        <w:rPr>
          <w:rFonts w:hint="eastAsia"/>
          <w:b w:val="0"/>
          <w:bCs/>
          <w:color w:val="auto"/>
          <w:sz w:val="28"/>
          <w:szCs w:val="28"/>
          <w:u w:val="none"/>
          <w:lang w:val="en-US" w:eastAsia="zh-CN"/>
        </w:rPr>
        <w:fldChar w:fldCharType="begin"/>
      </w:r>
      <w:r>
        <w:rPr>
          <w:rFonts w:hint="eastAsia"/>
          <w:b w:val="0"/>
          <w:bCs/>
          <w:color w:val="auto"/>
          <w:sz w:val="28"/>
          <w:szCs w:val="28"/>
          <w:u w:val="none"/>
          <w:lang w:val="en-US" w:eastAsia="zh-CN"/>
        </w:rPr>
        <w:instrText xml:space="preserve"> HYPERLINK "mailto:zzqq2100@163.com" </w:instrText>
      </w:r>
      <w:r>
        <w:rPr>
          <w:rFonts w:hint="eastAsia"/>
          <w:b w:val="0"/>
          <w:bCs/>
          <w:color w:val="auto"/>
          <w:sz w:val="28"/>
          <w:szCs w:val="28"/>
          <w:u w:val="none"/>
          <w:lang w:val="en-US" w:eastAsia="zh-CN"/>
        </w:rPr>
        <w:fldChar w:fldCharType="separate"/>
      </w:r>
      <w:r>
        <w:rPr>
          <w:rStyle w:val="6"/>
          <w:rFonts w:hint="eastAsia"/>
          <w:b w:val="0"/>
          <w:bCs/>
          <w:color w:val="auto"/>
          <w:sz w:val="28"/>
          <w:szCs w:val="28"/>
          <w:u w:val="none"/>
          <w:lang w:val="en-US" w:eastAsia="zh-CN"/>
        </w:rPr>
        <w:t>zzqq2100@163.com</w:t>
      </w:r>
      <w:r>
        <w:rPr>
          <w:rFonts w:hint="eastAsia"/>
          <w:b w:val="0"/>
          <w:bCs/>
          <w:color w:val="auto"/>
          <w:sz w:val="28"/>
          <w:szCs w:val="28"/>
          <w:u w:val="none"/>
          <w:lang w:val="en-US" w:eastAsia="zh-CN"/>
        </w:rPr>
        <w:fldChar w:fldCharType="end"/>
      </w:r>
    </w:p>
    <w:p w14:paraId="02A29BD9">
      <w:pPr>
        <w:contextualSpacing/>
        <w:jc w:val="both"/>
        <w:rPr>
          <w:rFonts w:hint="eastAsia"/>
          <w:b/>
          <w:bCs/>
          <w:color w:val="auto"/>
          <w:sz w:val="28"/>
          <w:szCs w:val="28"/>
          <w:lang w:val="en-US" w:eastAsia="zh-CN"/>
        </w:rPr>
      </w:pPr>
    </w:p>
    <w:p w14:paraId="30B8ED16">
      <w:pPr>
        <w:contextualSpacing/>
        <w:rPr>
          <w:rFonts w:ascii="Times New Roman" w:hAnsi="Times New Roman" w:eastAsia="宋体" w:cs="Times New Roman"/>
          <w:color w:val="auto"/>
          <w:sz w:val="28"/>
          <w:szCs w:val="28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摘要：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1831年，英国科学家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迈克尔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法拉弟的实验发现了电磁感应现象，不仅揭示了电与磁之间的内在联系，还实现了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磁与电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的相互转化，从此人类进入电文明时代，自此以后，关于电和磁的本质规律又有更多的科学家深入探讨，德国科学家爱因斯坦更是用40多年的时间尝试将电、磁、引力统一起来，遗憾的是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他没有成功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 xml:space="preserve">。 本试验就是尝试将电、磁、引力联系起来的试验。        </w:t>
      </w:r>
    </w:p>
    <w:p w14:paraId="711E7910">
      <w:pPr>
        <w:contextualSpacing/>
        <w:rPr>
          <w:rFonts w:ascii="Times New Roman" w:hAnsi="Times New Roman" w:eastAsia="宋体" w:cs="Times New Roman"/>
          <w:color w:val="auto"/>
          <w:sz w:val="28"/>
          <w:szCs w:val="28"/>
        </w:rPr>
      </w:pPr>
      <w:r>
        <w:rPr>
          <w:rFonts w:ascii="Times New Roman" w:hAnsi="Times New Roman" w:eastAsia="宋体" w:cs="Times New Roman"/>
          <w:color w:val="auto"/>
          <w:sz w:val="28"/>
          <w:szCs w:val="28"/>
        </w:rPr>
        <w:t xml:space="preserve">               </w:t>
      </w:r>
    </w:p>
    <w:p w14:paraId="40857ABF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正文：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试验方法：选用非晶材质的软磁环形铁芯，该非晶材料饱和磁感应强度Bs = 1.25特斯拉（T），磁导率大于等于100000，铁芯内径130 mm，外径190 mm，高度30 mm。在圆环上切开一个1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8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 xml:space="preserve"> mm长度的切口，形成一段长1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8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 xml:space="preserve"> mm的气隙，在环上用2.0 mm线径的漆包铜线绕制400匝的励磁绕组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t>。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见“图.1.”和“图2.”。</w:t>
      </w:r>
    </w:p>
    <w:p w14:paraId="13E6AF30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drawing>
          <wp:inline distT="0" distB="0" distL="114300" distR="114300">
            <wp:extent cx="2640965" cy="2015490"/>
            <wp:effectExtent l="0" t="0" r="6985" b="3810"/>
            <wp:docPr id="2" name="图片 2" descr="图1 非晶铁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1 非晶铁芯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drawing>
          <wp:inline distT="0" distB="0" distL="114300" distR="114300">
            <wp:extent cx="2393315" cy="1964690"/>
            <wp:effectExtent l="0" t="0" r="6985" b="16510"/>
            <wp:docPr id="3" name="图片 3" descr="图2 带绕组的非晶铁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2 带绕组的非晶铁芯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93315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034CE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 xml:space="preserve">                 </w:t>
      </w:r>
    </w:p>
    <w:p w14:paraId="058FAD84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</w:p>
    <w:p w14:paraId="05D65E17">
      <w:pPr>
        <w:contextualSpacing/>
        <w:rPr>
          <w:rFonts w:ascii="Times New Roman" w:hAnsi="Times New Roman" w:eastAsia="宋体" w:cs="Times New Roman"/>
          <w:color w:val="auto"/>
          <w:sz w:val="28"/>
          <w:szCs w:val="28"/>
        </w:rPr>
      </w:pPr>
      <w:r>
        <w:rPr>
          <w:rFonts w:ascii="Times New Roman" w:hAnsi="Times New Roman" w:eastAsia="宋体" w:cs="Times New Roman"/>
          <w:color w:val="auto"/>
          <w:sz w:val="28"/>
          <w:szCs w:val="28"/>
        </w:rPr>
        <w:t>线圈通频率f = 50 Hz，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用调压器调节输入电压，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 xml:space="preserve">电压V = 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50至100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 xml:space="preserve">伏的交流电，线圈绕组电流I = 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10至50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A，在铁芯的气隙处生成一交变磁通，气隙处磁场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的磁感应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强度约为0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.2至0.5特斯拉（T)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。</w:t>
      </w:r>
      <w:bookmarkStart w:id="0" w:name="_GoBack"/>
      <w:bookmarkEnd w:id="0"/>
    </w:p>
    <w:p w14:paraId="3425E960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ascii="Times New Roman" w:hAnsi="Times New Roman" w:eastAsia="宋体" w:cs="Times New Roman"/>
          <w:color w:val="auto"/>
          <w:sz w:val="28"/>
          <w:szCs w:val="28"/>
        </w:rPr>
        <w:t>在气隙处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用细的棉线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悬挂试验材料，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实验条件是常温、正常的大气压环境，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线圈通电后，发现可使一切材质的物体发生运动。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见“图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t>.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3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t>.”。</w:t>
      </w:r>
    </w:p>
    <w:p w14:paraId="33D5EF6B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drawing>
          <wp:inline distT="0" distB="0" distL="114300" distR="114300">
            <wp:extent cx="3065780" cy="2922270"/>
            <wp:effectExtent l="0" t="0" r="1270" b="11430"/>
            <wp:docPr id="4" name="图片 4" descr="图3 带绕组的非晶铁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3 带绕组的非晶铁芯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5780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357CC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</w:p>
    <w:p w14:paraId="0931F3D5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 xml:space="preserve">实验材料：选用薄片状长方形物质，运动效应明显.               </w:t>
      </w:r>
    </w:p>
    <w:p w14:paraId="4DC67023">
      <w:pPr>
        <w:numPr>
          <w:ilvl w:val="0"/>
          <w:numId w:val="1"/>
        </w:numPr>
        <w:ind w:left="700" w:leftChars="0" w:firstLine="0" w:firstLineChars="0"/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环氧绝缘板（长41mm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×宽12.5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×厚1.5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mm，重1.5g）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 xml:space="preserve"> </w:t>
      </w:r>
    </w:p>
    <w:p w14:paraId="78C35786">
      <w:pPr>
        <w:numPr>
          <w:ilvl w:val="0"/>
          <w:numId w:val="1"/>
        </w:numPr>
        <w:ind w:left="700" w:leftChars="0" w:firstLine="0" w:firstLineChars="0"/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纸片（长37mm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×宽12.5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×厚0.11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mm，重50mg）</w:t>
      </w:r>
    </w:p>
    <w:p w14:paraId="176B37FE">
      <w:pPr>
        <w:numPr>
          <w:ilvl w:val="0"/>
          <w:numId w:val="1"/>
        </w:numPr>
        <w:ind w:left="700" w:leftChars="0" w:firstLine="0" w:firstLineChars="0"/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陶瓷（长30mm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×宽9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×厚4.0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mm，重1.5g）</w:t>
      </w:r>
    </w:p>
    <w:p w14:paraId="4434BD06">
      <w:pPr>
        <w:numPr>
          <w:ilvl w:val="0"/>
          <w:numId w:val="1"/>
        </w:numPr>
        <w:ind w:left="700" w:leftChars="0" w:firstLine="0" w:firstLineChars="0"/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绿色树叶（长38mm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×宽14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×厚0.30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mm，重125mg）</w:t>
      </w:r>
    </w:p>
    <w:p w14:paraId="4E0F3A24">
      <w:pPr>
        <w:numPr>
          <w:ilvl w:val="0"/>
          <w:numId w:val="1"/>
        </w:numPr>
        <w:ind w:left="700" w:leftChars="0" w:firstLine="0" w:firstLineChars="0"/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铝板（长40mm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×宽12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×厚2.0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mm，重2g）</w:t>
      </w:r>
    </w:p>
    <w:p w14:paraId="764A1CE4">
      <w:pPr>
        <w:numPr>
          <w:ilvl w:val="0"/>
          <w:numId w:val="1"/>
        </w:numPr>
        <w:ind w:left="700" w:leftChars="0" w:firstLine="0" w:firstLineChars="0"/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生鲜的猪肉皮（长20mm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×宽10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>×厚3.0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mm，重0.5g）</w:t>
      </w:r>
    </w:p>
    <w:p w14:paraId="6CE34301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ascii="Times New Roman" w:hAnsi="Times New Roman" w:eastAsia="宋体" w:cs="Times New Roman"/>
          <w:color w:val="auto"/>
          <w:sz w:val="28"/>
          <w:szCs w:val="28"/>
        </w:rPr>
        <w:t>经过对气隙磁场处物体运动的分析，气隙</w:t>
      </w:r>
      <w:r>
        <w:rPr>
          <w:rFonts w:hint="eastAsia" w:ascii="SimSun-ExtB" w:hAnsi="SimSun-ExtB" w:eastAsia="SimSun-ExtB" w:cs="SimSun-ExtB"/>
          <w:color w:val="auto"/>
          <w:sz w:val="28"/>
          <w:szCs w:val="28"/>
        </w:rPr>
        <w:t>𥔵</w:t>
      </w:r>
      <w:r>
        <w:rPr>
          <w:rFonts w:ascii="Times New Roman" w:hAnsi="Times New Roman" w:eastAsia="宋体" w:cs="Times New Roman"/>
          <w:color w:val="auto"/>
          <w:sz w:val="28"/>
          <w:szCs w:val="28"/>
        </w:rPr>
        <w:t>通处生成了引力场，该引力场使得放置于其中的一切材质的物体运动，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见“图4.”。</w:t>
      </w:r>
    </w:p>
    <w:p w14:paraId="7585CE11">
      <w:pPr>
        <w:contextualSpacing/>
        <w:rPr>
          <w:rFonts w:ascii="Times New Roman" w:hAnsi="Times New Roman" w:eastAsia="宋体" w:cs="Times New Roman"/>
          <w:color w:val="auto"/>
          <w:sz w:val="28"/>
          <w:szCs w:val="28"/>
        </w:rPr>
      </w:pPr>
      <w:r>
        <w:rPr>
          <w:rFonts w:ascii="Times New Roman" w:hAnsi="Times New Roman" w:eastAsia="宋体" w:cs="Times New Roman"/>
          <w:color w:val="auto"/>
          <w:sz w:val="28"/>
          <w:szCs w:val="28"/>
        </w:rPr>
        <w:drawing>
          <wp:inline distT="0" distB="0" distL="114300" distR="114300">
            <wp:extent cx="3250565" cy="2407285"/>
            <wp:effectExtent l="0" t="0" r="6985" b="12065"/>
            <wp:docPr id="5" name="图片 5" descr="图4 垂直磁通方向作剖分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4 垂直磁通方向作剖分面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6A8A2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</w:p>
    <w:p w14:paraId="097CF9A2">
      <w:pPr>
        <w:contextualSpacing/>
        <w:rPr>
          <w:rFonts w:hint="eastAsia"/>
          <w:lang w:val="en-US" w:eastAsia="zh-CN"/>
        </w:rPr>
      </w:pPr>
      <w:r>
        <w:rPr>
          <w:rFonts w:ascii="Times New Roman" w:hAnsi="Times New Roman" w:eastAsia="宋体" w:cs="Times New Roman"/>
          <w:color w:val="auto"/>
          <w:sz w:val="28"/>
          <w:szCs w:val="28"/>
        </w:rPr>
        <w:t>在气隙磁通的垂直剖面上，任意取一点，该点受到的引力方向可能是从该点的周围垂直于磁场方向，并汇聚指向该考察点，引力方向示意图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见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t>“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图5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t>.”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和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t xml:space="preserve"> “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图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t>.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6”。</w:t>
      </w:r>
    </w:p>
    <w:p w14:paraId="7C2B966E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drawing>
          <wp:inline distT="0" distB="0" distL="114300" distR="114300">
            <wp:extent cx="2379980" cy="2678430"/>
            <wp:effectExtent l="0" t="0" r="1270" b="7620"/>
            <wp:docPr id="6" name="图片 6" descr="图5 引力方向（纸面向外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5 引力方向（纸面向外）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79980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 xml:space="preserve">    </w:t>
      </w: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  <w:drawing>
          <wp:inline distT="0" distB="0" distL="114300" distR="114300">
            <wp:extent cx="2351405" cy="2659380"/>
            <wp:effectExtent l="0" t="0" r="10795" b="7620"/>
            <wp:docPr id="7" name="图片 7" descr="图6 引力方向（纸面向内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6 引力方向（纸面向内）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1405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3E70B">
      <w:pPr>
        <w:contextualSpacing/>
        <w:rPr>
          <w:rFonts w:hint="eastAsia" w:ascii="Times New Roman" w:hAnsi="Times New Roman" w:eastAsia="宋体" w:cs="Times New Roman"/>
          <w:color w:val="auto"/>
          <w:sz w:val="28"/>
          <w:szCs w:val="28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 xml:space="preserve"> </w:t>
      </w:r>
    </w:p>
    <w:p w14:paraId="4EFCF9B2">
      <w:pPr>
        <w:contextualSpacing/>
        <w:rPr>
          <w:rFonts w:hint="default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>该实验过程中，已充分削弱了非晶铁芯通电后发生震动的影响，气隙处气流扰动的影响，不用交流电，用20V至60V的直流电通入线圈，物体运动的效应是一样的。见“图7.”。</w:t>
      </w:r>
    </w:p>
    <w:p w14:paraId="6A736FFB">
      <w:pPr>
        <w:contextualSpacing/>
        <w:rPr>
          <w:rFonts w:hint="default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hint="default" w:ascii="Times New Roman" w:hAnsi="Times New Roman" w:eastAsia="宋体" w:cs="Times New Roman"/>
          <w:color w:val="auto"/>
          <w:sz w:val="28"/>
          <w:szCs w:val="28"/>
          <w:lang w:val="en-US" w:eastAsia="zh-CN"/>
        </w:rPr>
        <w:drawing>
          <wp:inline distT="0" distB="0" distL="114300" distR="114300">
            <wp:extent cx="4794250" cy="2513330"/>
            <wp:effectExtent l="0" t="0" r="6350" b="1270"/>
            <wp:docPr id="8" name="图片 8" descr="图7 电气连接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7 电气连接图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9425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DC1B4">
      <w:pPr>
        <w:contextualSpacing/>
        <w:rPr>
          <w:rFonts w:hint="default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</w:p>
    <w:p w14:paraId="65FBA077">
      <w:pPr>
        <w:contextualSpacing/>
        <w:rPr>
          <w:rFonts w:hint="default" w:ascii="Times New Roman" w:hAnsi="Times New Roman" w:eastAsia="宋体" w:cs="Times New Roman"/>
          <w:color w:val="auto"/>
          <w:sz w:val="28"/>
          <w:szCs w:val="28"/>
          <w:lang w:val="en-US"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 xml:space="preserve">如果读者要重复该实验，可以不选用非晶铁芯，用硅钢材质的铁芯，绕线圈400至500匝，用50HZ或60HZ的交流电输入线圈，将电压调至50V到100V之间，即可观察到物体的运动效应，该实验生成了引力场，现根据实验的运动效应，初步给出引力场数学公式如下：                </w:t>
      </w:r>
    </w:p>
    <w:p w14:paraId="1F648AEE">
      <w:pPr>
        <w:rPr>
          <w:rFonts w:hint="eastAsia" w:hAnsi="Cambria Math"/>
          <w:i w:val="0"/>
          <w:color w:val="auto"/>
          <w:sz w:val="28"/>
          <w:szCs w:val="28"/>
          <w:lang w:val="en-US" w:eastAsia="zh-CN"/>
        </w:rPr>
      </w:pPr>
      <w:r>
        <w:rPr>
          <w:rFonts w:hint="eastAsia" w:ascii="Times New Roman" w:hAnsi="Times New Roman" w:eastAsia="宋体" w:cs="Times New Roman"/>
          <w:color w:val="auto"/>
          <w:sz w:val="28"/>
          <w:szCs w:val="28"/>
          <w:lang w:val="en-US" w:eastAsia="zh-CN"/>
        </w:rPr>
        <w:t xml:space="preserve">微分式       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 xml:space="preserve">∇×A= </w:t>
      </w:r>
      <w:r>
        <w:rPr>
          <w:color w:val="auto"/>
          <w:sz w:val="28"/>
          <w:szCs w:val="28"/>
        </w:rPr>
        <w:fldChar w:fldCharType="begin"/>
      </w:r>
      <w:r>
        <w:rPr>
          <w:color w:val="auto"/>
          <w:sz w:val="28"/>
          <w:szCs w:val="28"/>
        </w:rPr>
        <w:instrText xml:space="preserve"> </w:instrText>
      </w:r>
      <w:r>
        <w:rPr>
          <w:rFonts w:hint="eastAsia"/>
          <w:color w:val="auto"/>
          <w:sz w:val="28"/>
          <w:szCs w:val="28"/>
          <w:lang w:val="en-US" w:eastAsia="zh-CN"/>
        </w:rPr>
        <w:instrText xml:space="preserve">eq \f(1,k)</w:instrText>
      </w:r>
      <w:r>
        <w:rPr>
          <w:color w:val="auto"/>
          <w:sz w:val="28"/>
          <w:szCs w:val="28"/>
        </w:rPr>
        <w:instrText xml:space="preserve"> </w:instrText>
      </w:r>
      <w:r>
        <w:rPr>
          <w:color w:val="auto"/>
          <w:sz w:val="28"/>
          <w:szCs w:val="28"/>
        </w:rPr>
        <w:fldChar w:fldCharType="end"/>
      </w:r>
      <w:r>
        <w:rPr>
          <w:rFonts w:hint="eastAsia" w:hAnsi="Cambria Math"/>
          <w:i w:val="0"/>
          <w:color w:val="auto"/>
          <w:sz w:val="28"/>
          <w:szCs w:val="28"/>
          <w:lang w:val="en-US" w:eastAsia="zh-CN"/>
        </w:rPr>
        <w:t>B</w:t>
      </w:r>
    </w:p>
    <w:p w14:paraId="23F5702D">
      <w:pPr>
        <w:contextualSpacing/>
        <w:rPr>
          <w:rFonts w:hint="eastAsia" w:hAnsi="Cambria Math"/>
          <w:i w:val="0"/>
          <w:color w:val="auto"/>
          <w:sz w:val="28"/>
          <w:szCs w:val="28"/>
          <w:lang w:val="en-US" w:eastAsia="zh-CN"/>
        </w:rPr>
      </w:pPr>
      <w:r>
        <w:rPr>
          <w:rFonts w:hint="eastAsia" w:hAnsi="Cambria Math"/>
          <w:i w:val="0"/>
          <w:color w:val="auto"/>
          <w:sz w:val="28"/>
          <w:szCs w:val="28"/>
          <w:lang w:val="en-US" w:eastAsia="zh-CN"/>
        </w:rPr>
        <w:t xml:space="preserve">      式中A为引力场强度，k 是常数，B为磁感应强度.</w:t>
      </w:r>
    </w:p>
    <w:p w14:paraId="4C2B071A">
      <w:pPr>
        <w:rPr>
          <w:rFonts w:hint="default" w:hAnsi="Cambria Math" w:eastAsia="微软雅黑"/>
          <w:i w:val="0"/>
          <w:color w:val="auto"/>
          <w:sz w:val="28"/>
          <w:szCs w:val="28"/>
          <w:lang w:val="en-US" w:eastAsia="zh-CN"/>
        </w:rPr>
      </w:pPr>
      <w:r>
        <w:rPr>
          <w:rFonts w:hint="eastAsia" w:hAnsi="Cambria Math"/>
          <w:i w:val="0"/>
          <w:color w:val="auto"/>
          <w:sz w:val="28"/>
          <w:szCs w:val="28"/>
          <w:lang w:val="en-US" w:eastAsia="zh-CN"/>
        </w:rPr>
        <w:t xml:space="preserve">积分式       </w:t>
      </w:r>
      <w:r>
        <w:rPr>
          <w:rFonts w:hint="eastAsia" w:ascii="微软雅黑" w:hAnsi="微软雅黑" w:eastAsia="微软雅黑" w:cs="微软雅黑"/>
          <w:i w:val="0"/>
          <w:color w:val="auto"/>
          <w:sz w:val="28"/>
          <w:szCs w:val="28"/>
          <w:lang w:val="en-US" w:eastAsia="zh-CN"/>
        </w:rPr>
        <w:t>∲</w:t>
      </w:r>
      <w:r>
        <w:rPr>
          <w:rFonts w:hint="eastAsia" w:hAnsi="Cambria Math"/>
          <w:i w:val="0"/>
          <w:color w:val="auto"/>
          <w:sz w:val="28"/>
          <w:szCs w:val="28"/>
          <w:lang w:val="en-US" w:eastAsia="zh-CN"/>
        </w:rPr>
        <w:t>A</w:t>
      </w:r>
      <w:r>
        <w:rPr>
          <w:rFonts w:hint="eastAsia" w:ascii="微软雅黑" w:hAnsi="微软雅黑" w:eastAsia="微软雅黑" w:cs="微软雅黑"/>
          <w:i w:val="0"/>
          <w:color w:val="auto"/>
          <w:sz w:val="28"/>
          <w:szCs w:val="28"/>
          <w:lang w:val="en-US" w:eastAsia="zh-CN"/>
        </w:rPr>
        <w:t>∙</w:t>
      </w:r>
      <w:r>
        <w:rPr>
          <w:rFonts w:hint="eastAsia" w:hAnsi="Cambria Math"/>
          <w:i w:val="0"/>
          <w:color w:val="auto"/>
          <w:sz w:val="28"/>
          <w:szCs w:val="28"/>
          <w:lang w:val="en-US" w:eastAsia="zh-CN"/>
        </w:rPr>
        <w:t>dl=</w:t>
      </w:r>
      <w:r>
        <w:rPr>
          <w:rFonts w:hint="eastAsia" w:ascii="微软雅黑" w:hAnsi="微软雅黑" w:eastAsia="微软雅黑" w:cs="微软雅黑"/>
          <w:color w:val="auto"/>
          <w:sz w:val="28"/>
          <w:szCs w:val="28"/>
          <w:lang w:val="en-US" w:eastAsia="zh-CN"/>
        </w:rPr>
        <w:t xml:space="preserve"> </w:t>
      </w:r>
      <w:r>
        <w:rPr>
          <w:color w:val="auto"/>
          <w:sz w:val="28"/>
          <w:szCs w:val="28"/>
        </w:rPr>
        <w:fldChar w:fldCharType="begin"/>
      </w:r>
      <w:r>
        <w:rPr>
          <w:color w:val="auto"/>
          <w:sz w:val="28"/>
          <w:szCs w:val="28"/>
        </w:rPr>
        <w:instrText xml:space="preserve"> </w:instrText>
      </w:r>
      <w:r>
        <w:rPr>
          <w:rFonts w:hint="eastAsia"/>
          <w:color w:val="auto"/>
          <w:sz w:val="28"/>
          <w:szCs w:val="28"/>
          <w:lang w:val="en-US" w:eastAsia="zh-CN"/>
        </w:rPr>
        <w:instrText xml:space="preserve">eq \f(1,k)</w:instrText>
      </w:r>
      <w:r>
        <w:rPr>
          <w:color w:val="auto"/>
          <w:sz w:val="28"/>
          <w:szCs w:val="28"/>
        </w:rPr>
        <w:instrText xml:space="preserve"> </w:instrText>
      </w:r>
      <w:r>
        <w:rPr>
          <w:color w:val="auto"/>
          <w:sz w:val="28"/>
          <w:szCs w:val="28"/>
        </w:rPr>
        <w:fldChar w:fldCharType="end"/>
      </w:r>
      <w:r>
        <w:rPr>
          <w:rFonts w:hint="eastAsia" w:ascii="微软雅黑" w:hAnsi="微软雅黑" w:eastAsia="微软雅黑" w:cs="微软雅黑"/>
          <w:i w:val="0"/>
          <w:color w:val="auto"/>
          <w:sz w:val="28"/>
          <w:szCs w:val="28"/>
        </w:rPr>
        <w:t>∯</w:t>
      </w:r>
      <w:r>
        <w:rPr>
          <w:rFonts w:hint="eastAsia" w:hAnsi="Cambria Math" w:eastAsia="微软雅黑"/>
          <w:i w:val="0"/>
          <w:color w:val="auto"/>
          <w:sz w:val="28"/>
          <w:szCs w:val="28"/>
          <w:lang w:val="en-US" w:eastAsia="zh-CN"/>
        </w:rPr>
        <w:t>B</w:t>
      </w:r>
      <w:r>
        <w:rPr>
          <w:rFonts w:hint="eastAsia" w:ascii="微软雅黑" w:hAnsi="微软雅黑" w:eastAsia="微软雅黑" w:cs="微软雅黑"/>
          <w:i w:val="0"/>
          <w:color w:val="auto"/>
          <w:sz w:val="28"/>
          <w:szCs w:val="28"/>
          <w:lang w:val="en-US" w:eastAsia="zh-CN"/>
        </w:rPr>
        <w:t>∙</w:t>
      </w:r>
      <w:r>
        <w:rPr>
          <w:rFonts w:hint="eastAsia" w:hAnsi="Cambria Math"/>
          <w:i w:val="0"/>
          <w:color w:val="auto"/>
          <w:sz w:val="28"/>
          <w:szCs w:val="28"/>
          <w:lang w:val="en-US" w:eastAsia="zh-CN"/>
        </w:rPr>
        <w:t>d</w:t>
      </w:r>
      <w:r>
        <w:rPr>
          <w:rFonts w:hint="eastAsia" w:ascii="微软雅黑" w:hAnsi="微软雅黑" w:eastAsia="微软雅黑" w:cs="微软雅黑"/>
          <w:i w:val="0"/>
          <w:color w:val="auto"/>
          <w:sz w:val="28"/>
          <w:szCs w:val="28"/>
          <w:lang w:val="en-US" w:eastAsia="zh-CN"/>
        </w:rPr>
        <w:t>s</w:t>
      </w:r>
    </w:p>
    <w:p w14:paraId="66FDB654">
      <w:pPr>
        <w:contextualSpacing/>
        <w:rPr>
          <w:rFonts w:hint="eastAsia" w:hAnsi="Cambria Math"/>
          <w:i w:val="0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hAnsi="Cambria Math" w:eastAsia="微软雅黑"/>
          <w:i w:val="0"/>
          <w:color w:val="auto"/>
          <w:sz w:val="28"/>
          <w:szCs w:val="28"/>
          <w:lang w:val="en-US" w:eastAsia="zh-CN"/>
        </w:rPr>
        <w:t xml:space="preserve">     式中A为引力场强度，k</w:t>
      </w:r>
      <w:r>
        <w:rPr>
          <w:rFonts w:hint="eastAsia" w:hAnsi="Cambria Math"/>
          <w:i w:val="0"/>
          <w:color w:val="auto"/>
          <w:sz w:val="28"/>
          <w:szCs w:val="28"/>
          <w:lang w:val="en-US" w:eastAsia="zh-CN"/>
        </w:rPr>
        <w:t>是常数，B为磁感应强度.</w:t>
      </w:r>
    </w:p>
    <w:p w14:paraId="36300DD8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</w:pPr>
      <w:r>
        <w:rPr>
          <w:rFonts w:hint="eastAsia" w:hAnsi="Cambria Math"/>
          <w:i w:val="0"/>
          <w:color w:val="auto"/>
          <w:sz w:val="28"/>
          <w:szCs w:val="28"/>
          <w:u w:val="none"/>
          <w:lang w:val="en-US" w:eastAsia="zh-CN"/>
        </w:rPr>
        <w:t>参考文献：</w:t>
      </w:r>
      <w:r>
        <w:rPr>
          <w:rFonts w:hint="eastAsia"/>
          <w:color w:val="auto"/>
          <w:sz w:val="28"/>
          <w:szCs w:val="28"/>
          <w:u w:val="none"/>
        </w:rPr>
        <w:t xml:space="preserve">Unified Field Theory: Extraterrestrial Technology -- Academic Edition (2nd)  </w:t>
      </w:r>
      <w:r>
        <w:rPr>
          <w:rFonts w:hint="eastAsia"/>
          <w:color w:val="auto"/>
          <w:sz w:val="28"/>
          <w:szCs w:val="28"/>
          <w:u w:val="none"/>
        </w:rPr>
        <w:fldChar w:fldCharType="begin"/>
      </w:r>
      <w:r>
        <w:rPr>
          <w:rFonts w:hint="eastAsia"/>
          <w:color w:val="auto"/>
          <w:sz w:val="28"/>
          <w:szCs w:val="28"/>
          <w:u w:val="none"/>
        </w:rPr>
        <w:instrText xml:space="preserve"> HYPERLINK "https://a.co/d/d5sVWrT" </w:instrText>
      </w:r>
      <w:r>
        <w:rPr>
          <w:rFonts w:hint="eastAsia"/>
          <w:color w:val="auto"/>
          <w:sz w:val="28"/>
          <w:szCs w:val="28"/>
          <w:u w:val="none"/>
        </w:rPr>
        <w:fldChar w:fldCharType="separate"/>
      </w:r>
      <w:r>
        <w:rPr>
          <w:rStyle w:val="6"/>
          <w:rFonts w:hint="eastAsia"/>
          <w:color w:val="auto"/>
          <w:sz w:val="28"/>
          <w:szCs w:val="28"/>
          <w:u w:val="none"/>
        </w:rPr>
        <w:t>https://a.co/d/d5sVWrT</w:t>
      </w:r>
      <w:r>
        <w:rPr>
          <w:rFonts w:hint="eastAsia"/>
          <w:color w:val="auto"/>
          <w:sz w:val="28"/>
          <w:szCs w:val="28"/>
          <w:u w:val="none"/>
        </w:rPr>
        <w:fldChar w:fldCharType="end"/>
      </w:r>
    </w:p>
    <w:p w14:paraId="51CE6F33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  <w:t>致谢：</w:t>
      </w:r>
    </w:p>
    <w:p w14:paraId="322BD3EF">
      <w:pPr>
        <w:contextualSpacing/>
        <w:rPr>
          <w:rFonts w:hint="default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  <w:t>编辑：张传香</w:t>
      </w: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、舒秀霞、李传权、王金武</w:t>
      </w:r>
    </w:p>
    <w:p w14:paraId="67E2DBE1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  <w:t>翻译：江圆圆</w:t>
      </w:r>
    </w:p>
    <w:p w14:paraId="2BB458C7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  <w:t>资助：安徽迪维乐普非晶器材有限公司</w:t>
      </w:r>
    </w:p>
    <w:p w14:paraId="54B78B23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  <w:t>作者贡献：</w:t>
      </w:r>
    </w:p>
    <w:p w14:paraId="57A06FF2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  <w:t>理论指导：</w:t>
      </w: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张祥前</w:t>
      </w:r>
    </w:p>
    <w:p w14:paraId="6EEE786E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实验设计：徐玉川</w:t>
      </w:r>
    </w:p>
    <w:p w14:paraId="37AB303B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  <w:t>写作</w:t>
      </w: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-原稿：张祥前、徐玉川</w:t>
      </w:r>
    </w:p>
    <w:p w14:paraId="166A9938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写作-审阅和编辑：张祥前、徐玉川、张传香、舒秀霞、</w:t>
      </w:r>
      <w:r>
        <w:rPr>
          <w:rFonts w:hint="eastAsia" w:ascii="Arial" w:hAnsi="Arial" w:cs="Arial"/>
          <w:color w:val="auto"/>
          <w:sz w:val="28"/>
          <w:szCs w:val="28"/>
          <w:u w:val="none"/>
          <w:lang w:eastAsia="zh-CN"/>
        </w:rPr>
        <w:t>江圆圆</w:t>
      </w:r>
    </w:p>
    <w:p w14:paraId="31FB4AE1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竞争利益：在此声明张祥前和徐玉川没有竞争利益。</w:t>
      </w:r>
    </w:p>
    <w:p w14:paraId="35CFAFA8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数据和材料的可用性：所有数据可在正文或补充材料中获取。</w:t>
      </w:r>
    </w:p>
    <w:p w14:paraId="4ECEC7E4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补充材料</w:t>
      </w:r>
    </w:p>
    <w:p w14:paraId="25BB898E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  <w:t>给线圈通电，（环氧绝缘板、纸片、陶瓷、绿色树叶、铝板、生鲜的猪肉皮）在磁场内受引力作用运动情况。</w:t>
      </w:r>
    </w:p>
    <w:p w14:paraId="16608F37">
      <w:pPr>
        <w:contextualSpacing/>
        <w:rPr>
          <w:rFonts w:hint="eastAsia" w:ascii="Arial" w:hAnsi="Arial" w:cs="Arial"/>
          <w:color w:val="auto"/>
          <w:sz w:val="28"/>
          <w:szCs w:val="28"/>
          <w:u w:val="none"/>
          <w:lang w:val="en-US" w:eastAsia="zh-CN"/>
        </w:rPr>
      </w:pPr>
    </w:p>
    <w:p w14:paraId="0BFDE3CF">
      <w:pPr>
        <w:jc w:val="center"/>
        <w:rPr>
          <w:rFonts w:hint="default" w:ascii="Arial" w:hAnsi="Arial" w:cs="Arial"/>
          <w:b w:val="0"/>
          <w:bCs w:val="0"/>
          <w:sz w:val="36"/>
          <w:szCs w:val="36"/>
          <w:lang w:val="en-US" w:eastAsia="zh-CN"/>
        </w:rPr>
      </w:pPr>
      <w:r>
        <w:rPr>
          <w:rFonts w:hint="default" w:ascii="Arial" w:hAnsi="Arial" w:cs="Arial"/>
          <w:b w:val="0"/>
          <w:bCs w:val="0"/>
          <w:sz w:val="36"/>
          <w:szCs w:val="36"/>
          <w:lang w:val="en-US" w:eastAsia="zh-CN"/>
        </w:rPr>
        <w:t>补充材料</w:t>
      </w:r>
    </w:p>
    <w:p w14:paraId="477A8255">
      <w:pPr>
        <w:rPr>
          <w:rFonts w:hint="default" w:ascii="Arial" w:hAnsi="Arial" w:cs="Arial"/>
          <w:b w:val="0"/>
          <w:bCs w:val="0"/>
          <w:sz w:val="21"/>
          <w:szCs w:val="21"/>
          <w:lang w:val="en-US" w:eastAsia="zh-CN"/>
        </w:rPr>
      </w:pPr>
    </w:p>
    <w:p w14:paraId="2339367B">
      <w:pPr>
        <w:contextualSpacing/>
        <w:jc w:val="center"/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变化电磁场</w:t>
      </w:r>
      <w:r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生成</w:t>
      </w:r>
      <w:r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引力场令一切物体运动的试验</w:t>
      </w:r>
    </w:p>
    <w:p w14:paraId="4568E5C8">
      <w:pPr>
        <w:contextualSpacing/>
        <w:jc w:val="center"/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张祥前</w:t>
      </w:r>
      <w:r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徐玉川</w:t>
      </w:r>
    </w:p>
    <w:p w14:paraId="35CA24A4">
      <w:pPr>
        <w:contextualSpacing/>
        <w:jc w:val="center"/>
        <w:rPr>
          <w:rFonts w:hint="default" w:ascii="Arial" w:hAnsi="Arial" w:eastAsia="宋体" w:cs="Arial"/>
          <w:b w:val="0"/>
          <w:bCs w:val="0"/>
          <w:color w:val="auto"/>
          <w:sz w:val="28"/>
          <w:szCs w:val="28"/>
          <w:u w:val="none"/>
          <w:vertAlign w:val="baseline"/>
          <w:lang w:val="en-US" w:eastAsia="zh-CN"/>
        </w:rPr>
      </w:pPr>
      <w:r>
        <w:rPr>
          <w:rFonts w:hint="default" w:ascii="Arial" w:hAnsi="Arial" w:eastAsia="宋体" w:cs="Arial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徐玉川：</w:t>
      </w:r>
      <w:r>
        <w:rPr>
          <w:rFonts w:hint="default" w:ascii="Arial" w:hAnsi="Arial" w:eastAsia="宋体" w:cs="Arial"/>
          <w:b w:val="0"/>
          <w:bCs w:val="0"/>
          <w:color w:val="auto"/>
          <w:sz w:val="28"/>
          <w:szCs w:val="28"/>
          <w:u w:val="none"/>
          <w:vertAlign w:val="baseline"/>
          <w:lang w:val="en-US" w:eastAsia="zh-CN"/>
        </w:rPr>
        <w:fldChar w:fldCharType="begin"/>
      </w:r>
      <w:r>
        <w:rPr>
          <w:rFonts w:hint="default" w:ascii="Arial" w:hAnsi="Arial" w:eastAsia="宋体" w:cs="Arial"/>
          <w:b w:val="0"/>
          <w:bCs w:val="0"/>
          <w:color w:val="auto"/>
          <w:sz w:val="28"/>
          <w:szCs w:val="28"/>
          <w:u w:val="none"/>
          <w:vertAlign w:val="baseline"/>
          <w:lang w:val="en-US" w:eastAsia="zh-CN"/>
        </w:rPr>
        <w:instrText xml:space="preserve"> HYPERLINK "mailto:info@ahdvlp.com" </w:instrText>
      </w:r>
      <w:r>
        <w:rPr>
          <w:rFonts w:hint="default" w:ascii="Arial" w:hAnsi="Arial" w:eastAsia="宋体" w:cs="Arial"/>
          <w:b w:val="0"/>
          <w:bCs w:val="0"/>
          <w:color w:val="auto"/>
          <w:sz w:val="28"/>
          <w:szCs w:val="28"/>
          <w:u w:val="none"/>
          <w:vertAlign w:val="baseline"/>
          <w:lang w:val="en-US" w:eastAsia="zh-CN"/>
        </w:rPr>
        <w:fldChar w:fldCharType="separate"/>
      </w:r>
      <w:r>
        <w:rPr>
          <w:rStyle w:val="6"/>
          <w:rFonts w:hint="default" w:ascii="Arial" w:hAnsi="Arial" w:eastAsia="宋体" w:cs="Arial"/>
          <w:b w:val="0"/>
          <w:bCs w:val="0"/>
          <w:color w:val="auto"/>
          <w:sz w:val="28"/>
          <w:szCs w:val="28"/>
          <w:u w:val="none"/>
          <w:vertAlign w:val="baseline"/>
          <w:lang w:val="en-US" w:eastAsia="zh-CN"/>
        </w:rPr>
        <w:t>info@ahdvlp.com</w:t>
      </w:r>
      <w:r>
        <w:rPr>
          <w:rFonts w:hint="default" w:ascii="Arial" w:hAnsi="Arial" w:eastAsia="宋体" w:cs="Arial"/>
          <w:b w:val="0"/>
          <w:bCs w:val="0"/>
          <w:color w:val="auto"/>
          <w:sz w:val="28"/>
          <w:szCs w:val="28"/>
          <w:u w:val="none"/>
          <w:vertAlign w:val="baseline"/>
          <w:lang w:val="en-US" w:eastAsia="zh-CN"/>
        </w:rPr>
        <w:fldChar w:fldCharType="end"/>
      </w:r>
    </w:p>
    <w:p w14:paraId="28696C4F">
      <w:pPr>
        <w:contextualSpacing/>
        <w:jc w:val="center"/>
        <w:rPr>
          <w:rFonts w:hint="default" w:ascii="Arial" w:hAnsi="Arial" w:eastAsia="宋体" w:cs="Arial"/>
          <w:b w:val="0"/>
          <w:bCs w:val="0"/>
          <w:color w:val="auto"/>
          <w:sz w:val="28"/>
          <w:szCs w:val="28"/>
          <w:u w:val="none"/>
          <w:vertAlign w:val="baseline"/>
          <w:lang w:val="en-US" w:eastAsia="zh-CN"/>
        </w:rPr>
      </w:pPr>
      <w:r>
        <w:rPr>
          <w:rFonts w:hint="eastAsia" w:ascii="Arial" w:hAnsi="Arial" w:eastAsia="宋体" w:cs="Arial"/>
          <w:b w:val="0"/>
          <w:bCs w:val="0"/>
          <w:color w:val="auto"/>
          <w:sz w:val="28"/>
          <w:szCs w:val="28"/>
          <w:u w:val="none"/>
          <w:lang w:val="en-US" w:eastAsia="zh-CN"/>
        </w:rPr>
        <w:t>张祥前</w:t>
      </w:r>
      <w:r>
        <w:rPr>
          <w:rFonts w:hint="eastAsia" w:ascii="Arial" w:hAnsi="Arial" w:eastAsia="宋体" w:cs="Arial"/>
          <w:b w:val="0"/>
          <w:bCs w:val="0"/>
          <w:color w:val="auto"/>
          <w:sz w:val="28"/>
          <w:szCs w:val="28"/>
          <w:u w:val="none"/>
          <w:vertAlign w:val="baseline"/>
          <w:lang w:val="en-US" w:eastAsia="zh-CN"/>
        </w:rPr>
        <w:t>：</w:t>
      </w:r>
      <w:r>
        <w:rPr>
          <w:rFonts w:hint="eastAsia"/>
          <w:b w:val="0"/>
          <w:bCs w:val="0"/>
          <w:color w:val="auto"/>
          <w:sz w:val="28"/>
          <w:szCs w:val="28"/>
          <w:u w:val="none"/>
          <w:lang w:val="en-US" w:eastAsia="zh-CN"/>
        </w:rPr>
        <w:fldChar w:fldCharType="begin"/>
      </w:r>
      <w:r>
        <w:rPr>
          <w:rFonts w:hint="eastAsia"/>
          <w:b w:val="0"/>
          <w:bCs w:val="0"/>
          <w:color w:val="auto"/>
          <w:sz w:val="28"/>
          <w:szCs w:val="28"/>
          <w:u w:val="none"/>
          <w:lang w:val="en-US" w:eastAsia="zh-CN"/>
        </w:rPr>
        <w:instrText xml:space="preserve"> HYPERLINK "mailto:zzqq2100@163.com" </w:instrText>
      </w:r>
      <w:r>
        <w:rPr>
          <w:rFonts w:hint="eastAsia"/>
          <w:b w:val="0"/>
          <w:bCs w:val="0"/>
          <w:color w:val="auto"/>
          <w:sz w:val="28"/>
          <w:szCs w:val="28"/>
          <w:u w:val="none"/>
          <w:lang w:val="en-US" w:eastAsia="zh-CN"/>
        </w:rPr>
        <w:fldChar w:fldCharType="separate"/>
      </w:r>
      <w:r>
        <w:rPr>
          <w:rStyle w:val="6"/>
          <w:rFonts w:hint="eastAsia"/>
          <w:b w:val="0"/>
          <w:bCs w:val="0"/>
          <w:color w:val="auto"/>
          <w:sz w:val="28"/>
          <w:szCs w:val="28"/>
          <w:u w:val="none"/>
          <w:lang w:val="en-US" w:eastAsia="zh-CN"/>
        </w:rPr>
        <w:t>zzqq2100@163.com</w:t>
      </w:r>
      <w:r>
        <w:rPr>
          <w:rFonts w:hint="eastAsia"/>
          <w:b w:val="0"/>
          <w:bCs w:val="0"/>
          <w:color w:val="auto"/>
          <w:sz w:val="28"/>
          <w:szCs w:val="28"/>
          <w:u w:val="none"/>
          <w:lang w:val="en-US" w:eastAsia="zh-CN"/>
        </w:rPr>
        <w:fldChar w:fldCharType="end"/>
      </w:r>
    </w:p>
    <w:p w14:paraId="6ED2F0B8">
      <w:pPr>
        <w:rPr>
          <w:rFonts w:hint="default" w:ascii="Arial" w:hAnsi="Arial" w:cs="Arial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p w14:paraId="4ECCA42B">
      <w:pPr>
        <w:contextualSpacing/>
        <w:rPr>
          <w:rFonts w:hint="default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>给线圈通电，（环氧绝缘板、纸片、陶瓷、绿色树叶、铝板、生鲜的猪肉皮）在磁场内受引力作用运动情况。</w:t>
      </w:r>
    </w:p>
    <w:p w14:paraId="271ED45D">
      <w:pPr>
        <w:rPr>
          <w:rFonts w:hint="default" w:eastAsiaTheme="minorEastAsia"/>
          <w:lang w:val="en-US" w:eastAsia="zh-CN"/>
        </w:rPr>
      </w:pPr>
    </w:p>
    <w:p w14:paraId="36A27575">
      <w:pPr>
        <w:rPr>
          <w:rFonts w:hint="default" w:eastAsiaTheme="minorEastAsia"/>
          <w:lang w:val="en-US" w:eastAsia="zh-CN"/>
        </w:rPr>
      </w:pPr>
    </w:p>
    <w:p w14:paraId="1BB389A6">
      <w:pPr>
        <w:rPr>
          <w:rFonts w:hint="default" w:eastAsiaTheme="minorEastAsia"/>
          <w:lang w:val="en-US" w:eastAsia="zh-CN"/>
        </w:rPr>
      </w:pPr>
    </w:p>
    <w:p w14:paraId="087B4D7E"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object>
          <v:shape id="_x0000_i1025" o:spt="75" type="#_x0000_t75" style="height:116.25pt;width:128.15pt;" o:ole="t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  <o:OLEObject Type="Embed" ProgID="Package" ShapeID="_x0000_i1025" DrawAspect="Icon" ObjectID="_1468075725" r:id="rId13">
            <o:LockedField>false</o:LockedField>
          </o:OLEObject>
        </w:object>
      </w:r>
    </w:p>
    <w:p w14:paraId="17B21070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>电影S1给线圈通电，环氧绝缘板在磁场内受引力作用运动情况。</w:t>
      </w:r>
    </w:p>
    <w:p w14:paraId="0CC12A66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object>
          <v:shape id="_x0000_i1026" o:spt="75" type="#_x0000_t75" style="height:99.5pt;width:109.7pt;" o:ole="t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  <o:OLEObject Type="Embed" ProgID="Package" ShapeID="_x0000_i1026" DrawAspect="Icon" ObjectID="_1468075726" r:id="rId15">
            <o:LockedField>false</o:LockedField>
          </o:OLEObject>
        </w:object>
      </w:r>
    </w:p>
    <w:p w14:paraId="4F4B5AEC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>电影S2给线圈通电，纸片在磁场内受引力作用运动情况。</w:t>
      </w:r>
    </w:p>
    <w:p w14:paraId="0FBA0180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object>
          <v:shape id="_x0000_i1027" o:spt="75" type="#_x0000_t75" style="height:92.1pt;width:101.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Package" ShapeID="_x0000_i1027" DrawAspect="Icon" ObjectID="_1468075727" r:id="rId17">
            <o:LockedField>false</o:LockedField>
          </o:OLEObject>
        </w:object>
      </w:r>
    </w:p>
    <w:p w14:paraId="0A62D391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电影S3</w:t>
      </w:r>
      <w:r>
        <w:rPr>
          <w:rFonts w:hint="eastAsia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>给线圈通电，陶瓷在磁场内受引力作用运动情况。</w:t>
      </w:r>
    </w:p>
    <w:p w14:paraId="492D9AB6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object>
          <v:shape id="_x0000_i1028" o:spt="75" type="#_x0000_t75" style="height:93pt;width:102.5pt;" o:ole="t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  <o:OLEObject Type="Embed" ProgID="Package" ShapeID="_x0000_i1028" DrawAspect="Icon" ObjectID="_1468075728" r:id="rId19">
            <o:LockedField>false</o:LockedField>
          </o:OLEObject>
        </w:object>
      </w:r>
    </w:p>
    <w:p w14:paraId="68EC4D0E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D电影S4</w:t>
      </w:r>
      <w:r>
        <w:rPr>
          <w:rFonts w:hint="eastAsia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>给线圈通电，绿色树叶在磁场内受引力作用运动情况。</w:t>
      </w:r>
    </w:p>
    <w:p w14:paraId="10BF4896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object>
          <v:shape id="_x0000_i1029" o:spt="75" type="#_x0000_t75" style="height:100.5pt;width:110.8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Package" ShapeID="_x0000_i1029" DrawAspect="Icon" ObjectID="_1468075729" r:id="rId21">
            <o:LockedField>false</o:LockedField>
          </o:OLEObject>
        </w:object>
      </w:r>
    </w:p>
    <w:p w14:paraId="11C057E8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>电影S5给线圈通电，铝板在磁场内受引力作用运动情况。</w:t>
      </w:r>
    </w:p>
    <w:p w14:paraId="1D170F09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object>
          <v:shape id="_x0000_i1030" o:spt="75" type="#_x0000_t75" style="height:106.95pt;width:117.9pt;" o:ole="t" filled="f" o:preferrelative="t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  <o:OLEObject Type="Embed" ProgID="Package" ShapeID="_x0000_i1030" DrawAspect="Icon" ObjectID="_1468075730" r:id="rId23">
            <o:LockedField>false</o:LockedField>
          </o:OLEObject>
        </w:object>
      </w:r>
    </w:p>
    <w:p w14:paraId="0002C1A4">
      <w:pPr>
        <w:rPr>
          <w:rFonts w:hint="default" w:eastAsia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>电影S6给线圈通电，生鲜的猪肉皮在磁场内受引力作用运动情况。</w:t>
      </w:r>
    </w:p>
    <w:p w14:paraId="29A2FD29">
      <w:pPr>
        <w:contextualSpacing/>
        <w:rPr>
          <w:rFonts w:hint="eastAsia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</w:pPr>
    </w:p>
    <w:p w14:paraId="67675839">
      <w:pPr>
        <w:contextualSpacing/>
        <w:rPr>
          <w:rFonts w:hint="default" w:ascii="Arial" w:hAnsi="Arial" w:cs="Arial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SimSun-ExtB">
    <w:panose1 w:val="02010609060101010101"/>
    <w:charset w:val="86"/>
    <w:family w:val="modern"/>
    <w:pitch w:val="default"/>
    <w:sig w:usb0="00000001" w:usb1="02000000" w:usb2="00000000" w:usb3="00000000" w:csb0="00040001" w:csb1="00000000"/>
  </w:font>
  <w:font w:name="Cambria Math">
    <w:panose1 w:val="02040503050406030204"/>
    <w:charset w:val="00"/>
    <w:family w:val="auto"/>
    <w:pitch w:val="default"/>
    <w:sig w:usb0="E00006FF" w:usb1="420024FF" w:usb2="02000000" w:usb3="00000000" w:csb0="2000019F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EDBE0F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E22D2B">
    <w:pPr>
      <w:pStyle w:val="3"/>
      <w:pBdr>
        <w:bottom w:val="none" w:color="auto" w:sz="0" w:space="1"/>
      </w:pBdr>
    </w:pPr>
  </w:p>
  <w:p w14:paraId="55D881DD">
    <w:pPr>
      <w:pStyle w:val="3"/>
      <w:pBdr>
        <w:bottom w:val="none" w:color="auto" w:sz="0" w:space="1"/>
      </w:pBdr>
    </w:pPr>
  </w:p>
  <w:p w14:paraId="5A0D7E7C">
    <w:pPr>
      <w:pStyle w:val="3"/>
      <w:pBdr>
        <w:bottom w:val="none" w:color="auto" w:sz="0" w:space="1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26A0D06"/>
    <w:multiLevelType w:val="singleLevel"/>
    <w:tmpl w:val="B26A0D06"/>
    <w:lvl w:ilvl="0" w:tentative="0">
      <w:start w:val="1"/>
      <w:numFmt w:val="decimal"/>
      <w:suff w:val="nothing"/>
      <w:lvlText w:val="%1、"/>
      <w:lvlJc w:val="left"/>
      <w:pPr>
        <w:ind w:left="700" w:leftChars="0" w:firstLine="0" w:firstLineChars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IzMjM3NjYwMDZiZDIzM2Y3ODJlMWFlZGU2MTk2YWUifQ=="/>
  </w:docVars>
  <w:rsids>
    <w:rsidRoot w:val="00313507"/>
    <w:rsid w:val="000118A6"/>
    <w:rsid w:val="00042526"/>
    <w:rsid w:val="000D10AB"/>
    <w:rsid w:val="001033A5"/>
    <w:rsid w:val="001832A4"/>
    <w:rsid w:val="00215159"/>
    <w:rsid w:val="00245594"/>
    <w:rsid w:val="002E4C29"/>
    <w:rsid w:val="00313507"/>
    <w:rsid w:val="003A15C9"/>
    <w:rsid w:val="003B1DFE"/>
    <w:rsid w:val="004B0D73"/>
    <w:rsid w:val="004B145B"/>
    <w:rsid w:val="00503722"/>
    <w:rsid w:val="00592470"/>
    <w:rsid w:val="005F1465"/>
    <w:rsid w:val="005F4741"/>
    <w:rsid w:val="00612128"/>
    <w:rsid w:val="00616D27"/>
    <w:rsid w:val="00694C56"/>
    <w:rsid w:val="007D6AAE"/>
    <w:rsid w:val="00825E63"/>
    <w:rsid w:val="00847EAD"/>
    <w:rsid w:val="00AD1512"/>
    <w:rsid w:val="00B059C8"/>
    <w:rsid w:val="00B97F8F"/>
    <w:rsid w:val="00BA39F4"/>
    <w:rsid w:val="00BA3B35"/>
    <w:rsid w:val="00BB7DCB"/>
    <w:rsid w:val="00C142A2"/>
    <w:rsid w:val="00C90A52"/>
    <w:rsid w:val="00CF1760"/>
    <w:rsid w:val="00D02DE1"/>
    <w:rsid w:val="00D76A07"/>
    <w:rsid w:val="00D830BF"/>
    <w:rsid w:val="00DA3A22"/>
    <w:rsid w:val="00DC345D"/>
    <w:rsid w:val="00DD197C"/>
    <w:rsid w:val="00E10B11"/>
    <w:rsid w:val="00EC0CCB"/>
    <w:rsid w:val="00F97148"/>
    <w:rsid w:val="01E925F2"/>
    <w:rsid w:val="0371337D"/>
    <w:rsid w:val="041E4CBE"/>
    <w:rsid w:val="04817D55"/>
    <w:rsid w:val="05183D76"/>
    <w:rsid w:val="0599571B"/>
    <w:rsid w:val="06145DC8"/>
    <w:rsid w:val="082D0DDC"/>
    <w:rsid w:val="08CE42EF"/>
    <w:rsid w:val="08CE77DF"/>
    <w:rsid w:val="096A41DF"/>
    <w:rsid w:val="0B6B22C9"/>
    <w:rsid w:val="0BBE38BB"/>
    <w:rsid w:val="0C944F6B"/>
    <w:rsid w:val="0D1D5845"/>
    <w:rsid w:val="0D4E7778"/>
    <w:rsid w:val="0DDF0D4D"/>
    <w:rsid w:val="0DF015EE"/>
    <w:rsid w:val="0F827BE2"/>
    <w:rsid w:val="0FBD6E6C"/>
    <w:rsid w:val="10637A13"/>
    <w:rsid w:val="108E2F51"/>
    <w:rsid w:val="110E105E"/>
    <w:rsid w:val="12412BFE"/>
    <w:rsid w:val="12FD414F"/>
    <w:rsid w:val="130F5718"/>
    <w:rsid w:val="13D15112"/>
    <w:rsid w:val="14782D38"/>
    <w:rsid w:val="14AF3ABC"/>
    <w:rsid w:val="16B25250"/>
    <w:rsid w:val="18991417"/>
    <w:rsid w:val="18E11E1D"/>
    <w:rsid w:val="1909087C"/>
    <w:rsid w:val="19313088"/>
    <w:rsid w:val="19732B26"/>
    <w:rsid w:val="19F90C1E"/>
    <w:rsid w:val="1CD75A11"/>
    <w:rsid w:val="1D3E15EC"/>
    <w:rsid w:val="1EB6675D"/>
    <w:rsid w:val="1F3031B6"/>
    <w:rsid w:val="20124AB4"/>
    <w:rsid w:val="225C2514"/>
    <w:rsid w:val="22BB723B"/>
    <w:rsid w:val="22F664C5"/>
    <w:rsid w:val="238D7851"/>
    <w:rsid w:val="239F6B5C"/>
    <w:rsid w:val="23B02F72"/>
    <w:rsid w:val="249A6EB6"/>
    <w:rsid w:val="253F5446"/>
    <w:rsid w:val="25CD5C03"/>
    <w:rsid w:val="2604539D"/>
    <w:rsid w:val="26485289"/>
    <w:rsid w:val="272555CB"/>
    <w:rsid w:val="27FC4DA8"/>
    <w:rsid w:val="283F2A53"/>
    <w:rsid w:val="287C7332"/>
    <w:rsid w:val="2880089E"/>
    <w:rsid w:val="28940C5A"/>
    <w:rsid w:val="29030EDA"/>
    <w:rsid w:val="29F64FFC"/>
    <w:rsid w:val="2AA42CAA"/>
    <w:rsid w:val="2CBA67B5"/>
    <w:rsid w:val="2CC55886"/>
    <w:rsid w:val="2D28061C"/>
    <w:rsid w:val="2D496BD7"/>
    <w:rsid w:val="2DA4493C"/>
    <w:rsid w:val="2E3507E9"/>
    <w:rsid w:val="2E8D23D3"/>
    <w:rsid w:val="2F68074A"/>
    <w:rsid w:val="2F762E67"/>
    <w:rsid w:val="2FC009B5"/>
    <w:rsid w:val="2FFF73B7"/>
    <w:rsid w:val="322C35A6"/>
    <w:rsid w:val="32944A6A"/>
    <w:rsid w:val="33707BCD"/>
    <w:rsid w:val="33C817B8"/>
    <w:rsid w:val="33E70B4A"/>
    <w:rsid w:val="34052A0C"/>
    <w:rsid w:val="342B6450"/>
    <w:rsid w:val="34CE5B97"/>
    <w:rsid w:val="351A4295"/>
    <w:rsid w:val="374E46CA"/>
    <w:rsid w:val="37735EDE"/>
    <w:rsid w:val="3814146F"/>
    <w:rsid w:val="397A7FA5"/>
    <w:rsid w:val="39982ED8"/>
    <w:rsid w:val="3ABE1CF1"/>
    <w:rsid w:val="3AE0388B"/>
    <w:rsid w:val="3C700C3E"/>
    <w:rsid w:val="3C9E1C4F"/>
    <w:rsid w:val="3D1F2273"/>
    <w:rsid w:val="3DAA0180"/>
    <w:rsid w:val="3E2D328B"/>
    <w:rsid w:val="3E2E2B5F"/>
    <w:rsid w:val="422D2033"/>
    <w:rsid w:val="42975177"/>
    <w:rsid w:val="43AF6E6A"/>
    <w:rsid w:val="493A2D00"/>
    <w:rsid w:val="493B010A"/>
    <w:rsid w:val="4AC40AD3"/>
    <w:rsid w:val="4AE66C9B"/>
    <w:rsid w:val="4E0B6A19"/>
    <w:rsid w:val="4ED416C3"/>
    <w:rsid w:val="4EE80B08"/>
    <w:rsid w:val="4F8B7E11"/>
    <w:rsid w:val="504306EC"/>
    <w:rsid w:val="51FA5F01"/>
    <w:rsid w:val="521B69AA"/>
    <w:rsid w:val="580A7A59"/>
    <w:rsid w:val="5B2335F4"/>
    <w:rsid w:val="5CFC40FC"/>
    <w:rsid w:val="5E685240"/>
    <w:rsid w:val="6022031E"/>
    <w:rsid w:val="60220345"/>
    <w:rsid w:val="62C61B5E"/>
    <w:rsid w:val="63382FE1"/>
    <w:rsid w:val="647E189B"/>
    <w:rsid w:val="64C83FD7"/>
    <w:rsid w:val="64E9765C"/>
    <w:rsid w:val="65DF5AD0"/>
    <w:rsid w:val="66B61477"/>
    <w:rsid w:val="67584625"/>
    <w:rsid w:val="69256789"/>
    <w:rsid w:val="6AFB3C45"/>
    <w:rsid w:val="6C97799E"/>
    <w:rsid w:val="6CD14960"/>
    <w:rsid w:val="6D042B59"/>
    <w:rsid w:val="6D68758C"/>
    <w:rsid w:val="6DFF2F13"/>
    <w:rsid w:val="70560F05"/>
    <w:rsid w:val="727D1B80"/>
    <w:rsid w:val="72D36E3C"/>
    <w:rsid w:val="73D47729"/>
    <w:rsid w:val="74DD5CE8"/>
    <w:rsid w:val="78552E17"/>
    <w:rsid w:val="79D670A4"/>
    <w:rsid w:val="7A3C1B84"/>
    <w:rsid w:val="7A584D86"/>
    <w:rsid w:val="7C2C7551"/>
    <w:rsid w:val="7C9C4B5C"/>
    <w:rsid w:val="7CB22C8D"/>
    <w:rsid w:val="7D242BA7"/>
    <w:rsid w:val="7D397852"/>
    <w:rsid w:val="7D6C5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6">
    <w:name w:val="Hyperlink"/>
    <w:basedOn w:val="5"/>
    <w:qFormat/>
    <w:uiPriority w:val="0"/>
    <w:rPr>
      <w:color w:val="0000FF"/>
      <w:u w:val="single"/>
    </w:rPr>
  </w:style>
  <w:style w:type="character" w:customStyle="1" w:styleId="7">
    <w:name w:val="页眉 字符"/>
    <w:basedOn w:val="5"/>
    <w:link w:val="3"/>
    <w:qFormat/>
    <w:uiPriority w:val="0"/>
    <w:rPr>
      <w:kern w:val="2"/>
      <w:sz w:val="18"/>
      <w:szCs w:val="18"/>
    </w:rPr>
  </w:style>
  <w:style w:type="character" w:customStyle="1" w:styleId="8">
    <w:name w:val="页脚 字符"/>
    <w:basedOn w:val="5"/>
    <w:link w:val="2"/>
    <w:qFormat/>
    <w:uiPriority w:val="0"/>
    <w:rPr>
      <w:kern w:val="2"/>
      <w:sz w:val="18"/>
      <w:szCs w:val="18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13.emf"/><Relationship Id="rId23" Type="http://schemas.openxmlformats.org/officeDocument/2006/relationships/oleObject" Target="embeddings/oleObject6.bin"/><Relationship Id="rId22" Type="http://schemas.openxmlformats.org/officeDocument/2006/relationships/image" Target="media/image12.emf"/><Relationship Id="rId21" Type="http://schemas.openxmlformats.org/officeDocument/2006/relationships/oleObject" Target="embeddings/oleObject5.bin"/><Relationship Id="rId20" Type="http://schemas.openxmlformats.org/officeDocument/2006/relationships/image" Target="media/image11.emf"/><Relationship Id="rId2" Type="http://schemas.openxmlformats.org/officeDocument/2006/relationships/settings" Target="settings.xml"/><Relationship Id="rId19" Type="http://schemas.openxmlformats.org/officeDocument/2006/relationships/oleObject" Target="embeddings/oleObject4.bin"/><Relationship Id="rId18" Type="http://schemas.openxmlformats.org/officeDocument/2006/relationships/image" Target="media/image10.emf"/><Relationship Id="rId17" Type="http://schemas.openxmlformats.org/officeDocument/2006/relationships/oleObject" Target="embeddings/oleObject3.bin"/><Relationship Id="rId16" Type="http://schemas.openxmlformats.org/officeDocument/2006/relationships/image" Target="media/image9.emf"/><Relationship Id="rId15" Type="http://schemas.openxmlformats.org/officeDocument/2006/relationships/oleObject" Target="embeddings/oleObject2.bin"/><Relationship Id="rId14" Type="http://schemas.openxmlformats.org/officeDocument/2006/relationships/image" Target="media/image8.emf"/><Relationship Id="rId13" Type="http://schemas.openxmlformats.org/officeDocument/2006/relationships/oleObject" Target="embeddings/oleObject1.bin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HP</Company>
  <Pages>7</Pages>
  <Words>1501</Words>
  <Characters>1808</Characters>
  <Lines>22</Lines>
  <Paragraphs>6</Paragraphs>
  <TotalTime>27</TotalTime>
  <ScaleCrop>false</ScaleCrop>
  <LinksUpToDate>false</LinksUpToDate>
  <CharactersWithSpaces>1944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2022-06-07T02:39:00Z</dcterms:created>
  <dc:creator>Administrator</dc:creator>
  <cp:lastModifiedBy>小龙女</cp:lastModifiedBy>
  <cp:lastPrinted>2024-11-08T05:45:00Z</cp:lastPrinted>
  <dcterms:modified xsi:type="dcterms:W3CDTF">2024-11-18T06:43:48Z</dcterms:modified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726AB99778994F62A2EF72541A98F50C_13</vt:lpwstr>
  </property>
</Properties>
</file>